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В июне 1942 года завод имени Войтовича в Москве приступил к  выполнению особого задания – строительству специального поезда из шести  вагонов. Он следовал за войсками Воронежского фронта и вошёл в историю  как поезд-литография Военно-топографической службы</w:t>
      </w:r>
      <w:r>
        <w:t xml:space="preserve"> Красной Армии. Уникальный картографический комплекс прошёл более 4,5 тыс. километров по железным дорогам СССР, а затем Польши, Германии, Чехословакии и Австрии, выпустив 3 801 576 экземпляров карт и боевых графических документов.</w:t>
        <w:br/>
        <w:br/>
        <w:t xml:space="preserve">   Начиная с битвы под С</w:t>
      </w:r>
      <w:r>
        <w:t xml:space="preserve">талинградом ни одна наступательная операция  советских войск не проводилась без предварительной аэрофотосъемки полосы  обороны противника, дешифрирования материалов и изготовления  специальных карт, которых требовались миллионы экземпляров.  Для большей мо</w:t>
      </w:r>
      <w:r>
        <w:t xml:space="preserve">бильности и оперативности их решено было выпускать с  колес и создать единственное в своём роде воинское подразделение.</w:t>
        <w:br/>
        <w:br/>
        <w:t xml:space="preserve">   В ходе боёв отрабатывалось взаимодействие картографов с офицерами  штабов, разведчиками, артиллеристами, инженерами. Больше работали</w:t>
      </w:r>
      <w:r>
        <w:t xml:space="preserve"> с  лётчиками: накануне предстоящего у разведывательного авиаполка задания  картографам сообщался район планируемой аэрофотосъемки.  За ночь в поезде готовили основу, на которую затем переносили  зафиксированные объекты. На следующий день командиры частей </w:t>
      </w:r>
      <w:r>
        <w:t xml:space="preserve">уже  располагали актуальными картами.</w:t>
        <w:br/>
        <w:br/>
        <w:t xml:space="preserve">   9 февраля 1945 года поезд-литография пересёк польско-германскую границу. С 15 по 25 февраля специалисты выполняли особое поручение командования – составляли детальный план Берлина в масштабе 1:50000. В преддверии н</w:t>
      </w:r>
      <w:r>
        <w:t xml:space="preserve">аступления печатные машины  работали круглосуточно. Когда не хватало бумаги, печатали на оборотной стороне трофейных немецких карт. Рельефный макет столицы Третьего рейха площадью 2×2,5 кв.м., изготовленный бойцами фронтового поезда-литографии, использовал</w:t>
      </w:r>
      <w:r>
        <w:t xml:space="preserve"> маршал Жуков при разработке Берлинской операции весной 1945 года.</w:t>
        <w:br/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2025-06-20T06:01:46Z</dcterms:modified>
</cp:coreProperties>
</file>